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EB05" w14:textId="2AB1A9B0" w:rsidR="00A4694F" w:rsidRDefault="00A4694F" w:rsidP="00A4694F">
      <w:pPr>
        <w:rPr>
          <w:rFonts w:ascii="Helvetica" w:hAnsi="Helvetica" w:cs="Helvetica"/>
          <w:color w:val="000000"/>
          <w:kern w:val="0"/>
        </w:rPr>
      </w:pPr>
      <w:r w:rsidRPr="00A4694F">
        <w:rPr>
          <w:rFonts w:ascii="Helvetica" w:hAnsi="Helvetica" w:cs="Helvetica"/>
          <w:color w:val="000000"/>
          <w:kern w:val="0"/>
        </w:rPr>
        <w:t xml:space="preserve">Neuroprotective effects of DNIC-1 in </w:t>
      </w:r>
      <w:r>
        <w:rPr>
          <w:rFonts w:ascii="Helvetica" w:hAnsi="Helvetica" w:cs="Helvetica"/>
          <w:color w:val="000000"/>
          <w:kern w:val="0"/>
        </w:rPr>
        <w:t xml:space="preserve">a </w:t>
      </w:r>
      <w:r w:rsidRPr="00A4694F">
        <w:rPr>
          <w:rFonts w:ascii="Helvetica" w:hAnsi="Helvetica" w:cs="Helvetica"/>
          <w:color w:val="000000"/>
          <w:kern w:val="0"/>
        </w:rPr>
        <w:t>transgenic mouse model of amyotrophic lateral sclerosis</w:t>
      </w:r>
    </w:p>
    <w:p w14:paraId="5E4FDF94" w14:textId="2EF73827" w:rsidR="00A4694F" w:rsidRPr="00A4694F" w:rsidRDefault="00A4694F" w:rsidP="00A4694F">
      <w:pPr>
        <w:rPr>
          <w:rFonts w:ascii="Helvetica" w:hAnsi="Helvetica" w:cs="Helvetica"/>
          <w:color w:val="000000"/>
          <w:kern w:val="0"/>
        </w:rPr>
      </w:pPr>
      <w:r w:rsidRPr="00A4694F">
        <w:rPr>
          <w:rFonts w:ascii="Helvetica" w:hAnsi="Helvetica" w:cs="Helvetica"/>
          <w:color w:val="000000"/>
          <w:kern w:val="0"/>
        </w:rPr>
        <w:t>H</w:t>
      </w:r>
      <w:r>
        <w:rPr>
          <w:rFonts w:ascii="Helvetica" w:hAnsi="Helvetica" w:cs="Helvetica"/>
          <w:color w:val="000000"/>
          <w:kern w:val="0"/>
        </w:rPr>
        <w:t xml:space="preserve">T </w:t>
      </w:r>
      <w:r w:rsidRPr="00A4694F">
        <w:rPr>
          <w:rFonts w:ascii="Helvetica" w:hAnsi="Helvetica" w:cs="Helvetica"/>
          <w:color w:val="000000"/>
          <w:kern w:val="0"/>
        </w:rPr>
        <w:t xml:space="preserve">Chang </w:t>
      </w:r>
      <w:r w:rsidRPr="00A4694F">
        <w:rPr>
          <w:rFonts w:ascii="Helvetica" w:hAnsi="Helvetica" w:cs="Helvetica"/>
          <w:color w:val="000000"/>
          <w:kern w:val="0"/>
          <w:vertAlign w:val="superscript"/>
        </w:rPr>
        <w:t>1,</w:t>
      </w:r>
      <w:r w:rsidR="00641D13">
        <w:rPr>
          <w:rFonts w:ascii="Helvetica" w:hAnsi="Helvetica" w:cs="Helvetica"/>
          <w:color w:val="000000"/>
          <w:kern w:val="0"/>
          <w:vertAlign w:val="superscript"/>
        </w:rPr>
        <w:t>3</w:t>
      </w:r>
      <w:r w:rsidRPr="00A4694F">
        <w:rPr>
          <w:rFonts w:ascii="Helvetica" w:hAnsi="Helvetica" w:cs="Helvetica"/>
          <w:color w:val="000000"/>
          <w:kern w:val="0"/>
        </w:rPr>
        <w:t xml:space="preserve">, </w:t>
      </w:r>
      <w:r>
        <w:rPr>
          <w:rFonts w:ascii="Helvetica" w:hAnsi="Helvetica" w:cs="Helvetica"/>
          <w:color w:val="000000"/>
          <w:kern w:val="0"/>
        </w:rPr>
        <w:t>YH</w:t>
      </w:r>
      <w:r w:rsidRPr="00A4694F">
        <w:rPr>
          <w:rFonts w:ascii="Helvetica" w:hAnsi="Helvetica" w:cs="Helvetica"/>
          <w:color w:val="000000"/>
          <w:kern w:val="0"/>
        </w:rPr>
        <w:t xml:space="preserve"> Chen</w:t>
      </w:r>
      <w:r w:rsidR="00641D13">
        <w:rPr>
          <w:rFonts w:ascii="Helvetica" w:hAnsi="Helvetica" w:cs="Helvetica"/>
          <w:color w:val="000000"/>
          <w:kern w:val="0"/>
          <w:vertAlign w:val="superscript"/>
        </w:rPr>
        <w:t>4</w:t>
      </w:r>
      <w:r>
        <w:rPr>
          <w:rFonts w:ascii="Helvetica" w:hAnsi="Helvetica" w:cs="Helvetica"/>
          <w:color w:val="000000"/>
          <w:kern w:val="0"/>
        </w:rPr>
        <w:t>,</w:t>
      </w:r>
      <w:r w:rsidRPr="00A4694F">
        <w:rPr>
          <w:rFonts w:ascii="Helvetica" w:hAnsi="Helvetica" w:cs="Helvetica"/>
          <w:color w:val="000000"/>
          <w:kern w:val="0"/>
        </w:rPr>
        <w:t xml:space="preserve"> CC Yu</w:t>
      </w:r>
      <w:r w:rsidRPr="00A4694F">
        <w:rPr>
          <w:rFonts w:ascii="Helvetica" w:hAnsi="Helvetica" w:cs="Helvetica"/>
          <w:color w:val="000000"/>
          <w:kern w:val="0"/>
          <w:vertAlign w:val="superscript"/>
        </w:rPr>
        <w:t>1</w:t>
      </w:r>
      <w:r w:rsidRPr="00A4694F">
        <w:rPr>
          <w:rFonts w:ascii="Helvetica" w:hAnsi="Helvetica" w:cs="Helvetica"/>
          <w:color w:val="000000"/>
          <w:kern w:val="0"/>
        </w:rPr>
        <w:t>, T</w:t>
      </w:r>
      <w:r>
        <w:rPr>
          <w:rFonts w:ascii="Helvetica" w:hAnsi="Helvetica" w:cs="Helvetica"/>
          <w:color w:val="000000"/>
          <w:kern w:val="0"/>
        </w:rPr>
        <w:t>T</w:t>
      </w:r>
      <w:r w:rsidRPr="00A4694F">
        <w:rPr>
          <w:rFonts w:ascii="Helvetica" w:hAnsi="Helvetica" w:cs="Helvetica"/>
          <w:color w:val="000000"/>
          <w:kern w:val="0"/>
        </w:rPr>
        <w:t xml:space="preserve"> Lu</w:t>
      </w:r>
      <w:r w:rsidR="00641D13">
        <w:rPr>
          <w:rFonts w:ascii="Helvetica" w:hAnsi="Helvetica" w:cs="Helvetica"/>
          <w:color w:val="000000"/>
          <w:kern w:val="0"/>
          <w:vertAlign w:val="superscript"/>
        </w:rPr>
        <w:t>4</w:t>
      </w:r>
      <w:r w:rsidRPr="00A4694F">
        <w:rPr>
          <w:rFonts w:ascii="Helvetica" w:hAnsi="Helvetica" w:cs="Helvetica"/>
          <w:color w:val="000000"/>
          <w:kern w:val="0"/>
        </w:rPr>
        <w:t>, CF Kao</w:t>
      </w:r>
      <w:r w:rsidRPr="00A4694F">
        <w:rPr>
          <w:rFonts w:ascii="Helvetica" w:hAnsi="Helvetica" w:cs="Helvetica"/>
          <w:color w:val="000000"/>
          <w:kern w:val="0"/>
          <w:vertAlign w:val="superscript"/>
        </w:rPr>
        <w:t>1</w:t>
      </w:r>
      <w:r w:rsidR="00641D13">
        <w:rPr>
          <w:rFonts w:ascii="Helvetica" w:hAnsi="Helvetica" w:cs="Helvetica"/>
          <w:color w:val="000000"/>
          <w:kern w:val="0"/>
          <w:vertAlign w:val="superscript"/>
        </w:rPr>
        <w:t>,2,3</w:t>
      </w:r>
      <w:r>
        <w:rPr>
          <w:rFonts w:ascii="Helvetica" w:hAnsi="Helvetica" w:cs="Helvetica"/>
          <w:color w:val="000000"/>
          <w:kern w:val="0"/>
        </w:rPr>
        <w:t xml:space="preserve">, </w:t>
      </w:r>
      <w:r w:rsidRPr="00A4694F">
        <w:rPr>
          <w:rFonts w:ascii="Helvetica" w:hAnsi="Helvetica" w:cs="Helvetica"/>
          <w:color w:val="000000"/>
          <w:kern w:val="0"/>
        </w:rPr>
        <w:t>YM Wang</w:t>
      </w:r>
      <w:r w:rsidRPr="00A4694F">
        <w:rPr>
          <w:rFonts w:ascii="Helvetica" w:hAnsi="Helvetica" w:cs="Helvetica"/>
          <w:color w:val="000000"/>
          <w:kern w:val="0"/>
          <w:vertAlign w:val="superscript"/>
        </w:rPr>
        <w:t>1,2</w:t>
      </w:r>
      <w:r w:rsidR="00641D13">
        <w:rPr>
          <w:rFonts w:ascii="Helvetica" w:hAnsi="Helvetica" w:cs="Helvetica"/>
          <w:color w:val="000000"/>
          <w:kern w:val="0"/>
          <w:vertAlign w:val="superscript"/>
        </w:rPr>
        <w:t>,3</w:t>
      </w:r>
      <w:r w:rsidRPr="00A4694F">
        <w:rPr>
          <w:rFonts w:ascii="Helvetica" w:hAnsi="Helvetica" w:cs="Helvetica"/>
          <w:color w:val="000000"/>
          <w:kern w:val="0"/>
        </w:rPr>
        <w:t>, TW Chiu</w:t>
      </w:r>
      <w:r w:rsidRPr="00A4694F">
        <w:rPr>
          <w:rFonts w:ascii="Helvetica" w:hAnsi="Helvetica" w:cs="Helvetica"/>
          <w:color w:val="000000"/>
          <w:kern w:val="0"/>
          <w:vertAlign w:val="superscript"/>
        </w:rPr>
        <w:t>1,2</w:t>
      </w:r>
      <w:r>
        <w:rPr>
          <w:rFonts w:ascii="Helvetica" w:hAnsi="Helvetica" w:cs="Helvetica"/>
          <w:color w:val="000000"/>
          <w:kern w:val="0"/>
          <w:vertAlign w:val="superscript"/>
        </w:rPr>
        <w:t>,</w:t>
      </w:r>
      <w:r w:rsidR="00641D13">
        <w:rPr>
          <w:rFonts w:ascii="Helvetica" w:hAnsi="Helvetica" w:cs="Helvetica"/>
          <w:color w:val="000000"/>
          <w:kern w:val="0"/>
          <w:vertAlign w:val="superscript"/>
        </w:rPr>
        <w:t>3</w:t>
      </w:r>
    </w:p>
    <w:p w14:paraId="26982AAE" w14:textId="5F5E70E3" w:rsidR="00A4694F" w:rsidRDefault="00A4694F" w:rsidP="00A4694F">
      <w:pPr>
        <w:rPr>
          <w:rFonts w:ascii="Helvetica" w:hAnsi="Helvetica" w:cs="Helvetica"/>
          <w:color w:val="000000"/>
          <w:kern w:val="0"/>
        </w:rPr>
      </w:pPr>
      <w:r w:rsidRPr="00641D13">
        <w:rPr>
          <w:rFonts w:ascii="Helvetica" w:hAnsi="Helvetica" w:cs="Helvetica"/>
          <w:color w:val="000000"/>
          <w:kern w:val="0"/>
          <w:vertAlign w:val="superscript"/>
        </w:rPr>
        <w:t>1</w:t>
      </w:r>
      <w:r w:rsidRPr="00A4694F">
        <w:rPr>
          <w:rFonts w:ascii="Helvetica" w:hAnsi="Helvetica" w:cs="Helvetica"/>
          <w:color w:val="000000"/>
          <w:kern w:val="0"/>
        </w:rPr>
        <w:t>Institute of Molecular Medicine and Bioengineering</w:t>
      </w:r>
      <w:r>
        <w:rPr>
          <w:rFonts w:ascii="Helvetica" w:hAnsi="Helvetica" w:cs="Helvetica"/>
          <w:color w:val="000000"/>
          <w:kern w:val="0"/>
        </w:rPr>
        <w:t xml:space="preserve">; </w:t>
      </w:r>
      <w:r w:rsidRPr="00641D13">
        <w:rPr>
          <w:rFonts w:ascii="Helvetica" w:hAnsi="Helvetica" w:cs="Helvetica"/>
          <w:color w:val="000000"/>
          <w:kern w:val="0"/>
          <w:vertAlign w:val="superscript"/>
        </w:rPr>
        <w:t xml:space="preserve">2 </w:t>
      </w:r>
      <w:r w:rsidRPr="00A4694F">
        <w:rPr>
          <w:rFonts w:ascii="Helvetica" w:hAnsi="Helvetica" w:cs="Helvetica"/>
          <w:color w:val="000000"/>
          <w:kern w:val="0"/>
        </w:rPr>
        <w:t>Department of Biological Science and Technology</w:t>
      </w:r>
      <w:r>
        <w:rPr>
          <w:rFonts w:ascii="Helvetica" w:hAnsi="Helvetica" w:cs="Helvetica"/>
          <w:color w:val="000000"/>
          <w:kern w:val="0"/>
        </w:rPr>
        <w:t xml:space="preserve">; </w:t>
      </w:r>
      <w:r w:rsidR="00641D13" w:rsidRPr="00641D13">
        <w:rPr>
          <w:rFonts w:ascii="Helvetica" w:hAnsi="Helvetica" w:cs="Helvetica"/>
          <w:color w:val="000000"/>
          <w:kern w:val="0"/>
          <w:vertAlign w:val="superscript"/>
        </w:rPr>
        <w:t>3</w:t>
      </w:r>
      <w:r w:rsidR="00641D13" w:rsidRPr="00A4694F">
        <w:rPr>
          <w:rFonts w:ascii="Helvetica" w:hAnsi="Helvetica" w:cs="Helvetica"/>
          <w:color w:val="000000"/>
          <w:kern w:val="0"/>
        </w:rPr>
        <w:t>Center for Intelligent Drug Systems and Smart Bio-devices</w:t>
      </w:r>
      <w:r w:rsidR="00641D13">
        <w:rPr>
          <w:rFonts w:ascii="Helvetica" w:hAnsi="Helvetica" w:cs="Helvetica"/>
          <w:color w:val="000000"/>
          <w:kern w:val="0"/>
        </w:rPr>
        <w:t xml:space="preserve">, NYCU and </w:t>
      </w:r>
      <w:r w:rsidR="00641D13" w:rsidRPr="00641D13">
        <w:rPr>
          <w:rFonts w:ascii="Helvetica" w:hAnsi="Helvetica" w:cs="Helvetica"/>
          <w:color w:val="000000"/>
          <w:kern w:val="0"/>
          <w:vertAlign w:val="superscript"/>
        </w:rPr>
        <w:t>4</w:t>
      </w:r>
      <w:r w:rsidRPr="00A4694F">
        <w:rPr>
          <w:rFonts w:ascii="Helvetica" w:hAnsi="Helvetica" w:cs="Helvetica"/>
          <w:color w:val="000000"/>
          <w:kern w:val="0"/>
        </w:rPr>
        <w:t xml:space="preserve">Institute of Biomedical Engineering, </w:t>
      </w:r>
      <w:r w:rsidR="00641D13">
        <w:rPr>
          <w:rFonts w:ascii="Helvetica" w:hAnsi="Helvetica" w:cs="Helvetica"/>
          <w:color w:val="000000"/>
          <w:kern w:val="0"/>
        </w:rPr>
        <w:t>NTHU</w:t>
      </w:r>
    </w:p>
    <w:p w14:paraId="3C5A200B" w14:textId="772ED7CD" w:rsidR="00A4694F" w:rsidRPr="00A4694F" w:rsidRDefault="00A4694F" w:rsidP="00A4694F">
      <w:pPr>
        <w:rPr>
          <w:rFonts w:ascii="Helvetica" w:hAnsi="Helvetica" w:cs="Helvetica"/>
          <w:color w:val="000000"/>
          <w:kern w:val="0"/>
        </w:rPr>
      </w:pPr>
      <w:r w:rsidRPr="00A4694F">
        <w:rPr>
          <w:rFonts w:ascii="Helvetica" w:hAnsi="Helvetica" w:cs="Helvetica"/>
          <w:color w:val="000000"/>
          <w:kern w:val="0"/>
        </w:rPr>
        <w:t>Neuroprotection seeks to preserve neural structures and functions to prevent or delay nervous system deterioration caused by aging, disease, or trauma. Previous research</w:t>
      </w:r>
      <w:r>
        <w:rPr>
          <w:rFonts w:ascii="Helvetica" w:hAnsi="Helvetica" w:cs="Helvetica"/>
          <w:color w:val="000000"/>
          <w:kern w:val="0"/>
        </w:rPr>
        <w:t xml:space="preserve"> </w:t>
      </w:r>
      <w:r w:rsidRPr="00A4694F">
        <w:rPr>
          <w:rFonts w:ascii="Helvetica" w:hAnsi="Helvetica" w:cs="Helvetica"/>
          <w:color w:val="000000"/>
          <w:kern w:val="0"/>
        </w:rPr>
        <w:t xml:space="preserve">demonstrated the neuroprotective effects of DNIC-1 (dinitrosyl iron complex-1), a novel and stable nitric oxide (NO)-releasing compound, in </w:t>
      </w:r>
      <w:r w:rsidR="00F051B7">
        <w:rPr>
          <w:rFonts w:ascii="Helvetica" w:hAnsi="Helvetica" w:cs="Helvetica"/>
          <w:color w:val="000000"/>
          <w:kern w:val="0"/>
        </w:rPr>
        <w:t>a western</w:t>
      </w:r>
      <w:r w:rsidRPr="00A4694F">
        <w:rPr>
          <w:rFonts w:ascii="Helvetica" w:hAnsi="Helvetica" w:cs="Helvetica"/>
          <w:color w:val="000000"/>
          <w:kern w:val="0"/>
        </w:rPr>
        <w:t xml:space="preserve"> diet</w:t>
      </w:r>
      <w:r w:rsidR="00F051B7">
        <w:rPr>
          <w:rFonts w:ascii="Helvetica" w:hAnsi="Helvetica" w:cs="Helvetica"/>
          <w:color w:val="000000"/>
          <w:kern w:val="0"/>
        </w:rPr>
        <w:t>-</w:t>
      </w:r>
      <w:r w:rsidRPr="00A4694F">
        <w:rPr>
          <w:rFonts w:ascii="Helvetica" w:hAnsi="Helvetica" w:cs="Helvetica"/>
          <w:color w:val="000000"/>
          <w:kern w:val="0"/>
        </w:rPr>
        <w:t xml:space="preserve">induced cognitive decline </w:t>
      </w:r>
      <w:r w:rsidR="00F051B7">
        <w:rPr>
          <w:rFonts w:ascii="Helvetica" w:hAnsi="Helvetica" w:cs="Helvetica"/>
          <w:color w:val="000000"/>
          <w:kern w:val="0"/>
        </w:rPr>
        <w:t xml:space="preserve">mouse model </w:t>
      </w:r>
      <w:r w:rsidRPr="00A4694F">
        <w:rPr>
          <w:rFonts w:ascii="Helvetica" w:hAnsi="Helvetica" w:cs="Helvetica"/>
          <w:color w:val="000000"/>
          <w:kern w:val="0"/>
        </w:rPr>
        <w:t xml:space="preserve">and in Drosophila models of poly-Q disease. DNIC-1 treatment alleviated neurodegeneration symptoms such as cognitive decline, increased neuronal cell death, abnormal protein aggregation, and impaired motor function. However, its potential neuroprotective effects in other neurodegenerative diseases remain unexplored. Amyotrophic lateral sclerosis (ALS) is </w:t>
      </w:r>
      <w:r w:rsidR="00641D13">
        <w:rPr>
          <w:rFonts w:ascii="Helvetica" w:hAnsi="Helvetica" w:cs="Helvetica"/>
          <w:color w:val="000000"/>
          <w:kern w:val="0"/>
        </w:rPr>
        <w:t>one of</w:t>
      </w:r>
      <w:r w:rsidRPr="00A4694F">
        <w:rPr>
          <w:rFonts w:ascii="Helvetica" w:hAnsi="Helvetica" w:cs="Helvetica"/>
          <w:color w:val="000000"/>
          <w:kern w:val="0"/>
        </w:rPr>
        <w:t xml:space="preserve"> </w:t>
      </w:r>
      <w:r w:rsidR="00641D13">
        <w:rPr>
          <w:rFonts w:ascii="Helvetica" w:hAnsi="Helvetica" w:cs="Helvetica"/>
          <w:color w:val="000000"/>
          <w:kern w:val="0"/>
        </w:rPr>
        <w:t xml:space="preserve">the </w:t>
      </w:r>
      <w:r w:rsidRPr="00A4694F">
        <w:rPr>
          <w:rFonts w:ascii="Helvetica" w:hAnsi="Helvetica" w:cs="Helvetica"/>
          <w:color w:val="000000"/>
          <w:kern w:val="0"/>
        </w:rPr>
        <w:t>fatal neurodegenerative disorder</w:t>
      </w:r>
      <w:r w:rsidR="00641D13">
        <w:rPr>
          <w:rFonts w:ascii="Helvetica" w:hAnsi="Helvetica" w:cs="Helvetica"/>
          <w:color w:val="000000"/>
          <w:kern w:val="0"/>
        </w:rPr>
        <w:t>s</w:t>
      </w:r>
      <w:r w:rsidRPr="00A4694F">
        <w:rPr>
          <w:rFonts w:ascii="Helvetica" w:hAnsi="Helvetica" w:cs="Helvetica"/>
          <w:color w:val="000000"/>
          <w:kern w:val="0"/>
        </w:rPr>
        <w:t xml:space="preserve"> characterized by progressive loss of motor neurons, with unclear etiology and pathophysiology, and currently lacks an effective cure. This study aimed to evaluate the neuroprotective effects of DNIC-1 in ALS animal models.</w:t>
      </w:r>
    </w:p>
    <w:p w14:paraId="688C0B01" w14:textId="1F021D4C" w:rsidR="00A4694F" w:rsidRPr="00A4694F" w:rsidRDefault="00A4694F" w:rsidP="00A4694F">
      <w:pPr>
        <w:rPr>
          <w:rFonts w:ascii="Helvetica" w:hAnsi="Helvetica" w:cs="Helvetica"/>
          <w:color w:val="000000"/>
          <w:kern w:val="0"/>
        </w:rPr>
      </w:pPr>
      <w:r w:rsidRPr="00A4694F">
        <w:rPr>
          <w:rFonts w:ascii="Helvetica" w:hAnsi="Helvetica" w:cs="Helvetica"/>
          <w:color w:val="000000"/>
          <w:kern w:val="0"/>
        </w:rPr>
        <w:t>In humans, mutations in the Cu,</w:t>
      </w:r>
      <w:r w:rsidR="00641D13">
        <w:rPr>
          <w:rFonts w:ascii="Helvetica" w:hAnsi="Helvetica" w:cs="Helvetica"/>
          <w:color w:val="000000"/>
          <w:kern w:val="0"/>
        </w:rPr>
        <w:t xml:space="preserve"> </w:t>
      </w:r>
      <w:r w:rsidRPr="00A4694F">
        <w:rPr>
          <w:rFonts w:ascii="Helvetica" w:hAnsi="Helvetica" w:cs="Helvetica"/>
          <w:color w:val="000000"/>
          <w:kern w:val="0"/>
        </w:rPr>
        <w:t>Zn superoxide dismutase gene (SOD1) are present in 20% of familial ALS cases. Transgenic mice expressing a human SOD1 mutation (Gly-93 to Ala; G93A) develop an ALS-like motor neuron disease, making them a widely used ALS model. In this study, DNIC-1 was administered via drinking water at doses of 2.65 mg/kg/day from weeks 10 to 20, and 5.3 mg/kg/day from weeks 15 to 20. Control groups received no DNIC-1. ALS onset was monitored weekly from weeks 6 to 20 through behavioral assessments</w:t>
      </w:r>
      <w:r w:rsidR="00641D13">
        <w:rPr>
          <w:rFonts w:ascii="Helvetica" w:hAnsi="Helvetica" w:cs="Helvetica"/>
          <w:color w:val="000000"/>
          <w:kern w:val="0"/>
        </w:rPr>
        <w:t>,</w:t>
      </w:r>
      <w:r w:rsidRPr="00A4694F">
        <w:rPr>
          <w:rFonts w:ascii="Helvetica" w:hAnsi="Helvetica" w:cs="Helvetica"/>
          <w:color w:val="000000"/>
          <w:kern w:val="0"/>
        </w:rPr>
        <w:t xml:space="preserve"> including wire hanging and hind-limb extension tests. At study end, animals were euthanized with urethane overdose (2.0 g/kg, </w:t>
      </w:r>
      <w:proofErr w:type="spellStart"/>
      <w:r w:rsidRPr="00A4694F">
        <w:rPr>
          <w:rFonts w:ascii="Helvetica" w:hAnsi="Helvetica" w:cs="Helvetica"/>
          <w:color w:val="000000"/>
          <w:kern w:val="0"/>
        </w:rPr>
        <w:t>i.p.</w:t>
      </w:r>
      <w:proofErr w:type="spellEnd"/>
      <w:r w:rsidRPr="00A4694F">
        <w:rPr>
          <w:rFonts w:ascii="Helvetica" w:hAnsi="Helvetica" w:cs="Helvetica"/>
          <w:color w:val="000000"/>
          <w:kern w:val="0"/>
        </w:rPr>
        <w:t>), and spinal cords were collected for immunohistochemical (IHC) staining and RNA sequencing (RNA-seq) analyses.</w:t>
      </w:r>
    </w:p>
    <w:p w14:paraId="5F8F0A5D" w14:textId="77777777" w:rsidR="00A4694F" w:rsidRPr="00A4694F" w:rsidRDefault="00A4694F" w:rsidP="00A4694F">
      <w:pPr>
        <w:rPr>
          <w:rFonts w:ascii="Helvetica" w:hAnsi="Helvetica" w:cs="Helvetica"/>
          <w:color w:val="000000"/>
          <w:kern w:val="0"/>
        </w:rPr>
      </w:pPr>
      <w:r w:rsidRPr="00A4694F">
        <w:rPr>
          <w:rFonts w:ascii="Helvetica" w:hAnsi="Helvetica" w:cs="Helvetica"/>
          <w:color w:val="000000"/>
          <w:kern w:val="0"/>
        </w:rPr>
        <w:t xml:space="preserve">Results indicated that low-dose DNIC-1 treatment modestly delayed motor function decline in early-stage ALS mice, whereas a higher dose substantially delayed motor deterioration in middle-stage ALS mice. IHC analyses revealed that low-dose treatment significantly increased motor neuron survival, reduced astrocyte activation, and slightly decreased abnormal SOD1 aggregation in the spinal cord. RNA-seq identified 165 genes altered by the SOD1-G93A mutation; low-dose DNIC-1 minimally affected gene expression in control mice but altered 223 genes in ALS mice. Overall, optimal DNIC-1 dosing significantly delayed ALS progression, suggesting promising neuroprotective effects. Further research is warranted to clarify the mechanisms underlying DNIC-1’s </w:t>
      </w:r>
      <w:r w:rsidRPr="00A4694F">
        <w:rPr>
          <w:rFonts w:ascii="Helvetica" w:hAnsi="Helvetica" w:cs="Helvetica"/>
          <w:color w:val="000000"/>
          <w:kern w:val="0"/>
        </w:rPr>
        <w:lastRenderedPageBreak/>
        <w:t>neuroprotection and to refine its therapeutic application. These findings provide new perspectives on ALS pathophysiology and potential treatment strategies</w:t>
      </w:r>
    </w:p>
    <w:p w14:paraId="4341AE80" w14:textId="6D930600" w:rsidR="00556CBD" w:rsidRPr="00A4694F" w:rsidRDefault="00556CBD" w:rsidP="00A4694F"/>
    <w:sectPr w:rsidR="00556CBD" w:rsidRPr="00A469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EE"/>
    <w:rsid w:val="0001132E"/>
    <w:rsid w:val="001B32EE"/>
    <w:rsid w:val="00433093"/>
    <w:rsid w:val="00485AD7"/>
    <w:rsid w:val="004A0B62"/>
    <w:rsid w:val="004B4D62"/>
    <w:rsid w:val="00556CBD"/>
    <w:rsid w:val="006248BD"/>
    <w:rsid w:val="00641D13"/>
    <w:rsid w:val="00786407"/>
    <w:rsid w:val="007E12A3"/>
    <w:rsid w:val="00A4694F"/>
    <w:rsid w:val="00B76524"/>
    <w:rsid w:val="00C4716E"/>
    <w:rsid w:val="00DD4352"/>
    <w:rsid w:val="00F051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E27B"/>
  <w15:chartTrackingRefBased/>
  <w15:docId w15:val="{F7EF9B30-9831-CA4E-8219-7EB13542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B32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B32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B32E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B32E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B32E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B32E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B32E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B32E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B32E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B32EE"/>
    <w:rPr>
      <w:rFonts w:asciiTheme="majorHAnsi" w:eastAsiaTheme="majorEastAsia" w:hAnsiTheme="majorHAnsi" w:cstheme="majorBidi"/>
      <w:color w:val="0F4761" w:themeColor="accent1" w:themeShade="BF"/>
      <w:sz w:val="40"/>
      <w:szCs w:val="40"/>
    </w:rPr>
  </w:style>
  <w:style w:type="character" w:customStyle="1" w:styleId="20">
    <w:name w:val="標題 2 字元"/>
    <w:basedOn w:val="a0"/>
    <w:link w:val="2"/>
    <w:uiPriority w:val="9"/>
    <w:semiHidden/>
    <w:rsid w:val="001B32EE"/>
    <w:rPr>
      <w:rFonts w:asciiTheme="majorHAnsi" w:eastAsiaTheme="majorEastAsia" w:hAnsiTheme="majorHAnsi" w:cstheme="majorBidi"/>
      <w:color w:val="0F4761" w:themeColor="accent1" w:themeShade="BF"/>
      <w:sz w:val="32"/>
      <w:szCs w:val="32"/>
    </w:rPr>
  </w:style>
  <w:style w:type="character" w:customStyle="1" w:styleId="30">
    <w:name w:val="標題 3 字元"/>
    <w:basedOn w:val="a0"/>
    <w:link w:val="3"/>
    <w:uiPriority w:val="9"/>
    <w:semiHidden/>
    <w:rsid w:val="001B32EE"/>
    <w:rPr>
      <w:rFonts w:eastAsiaTheme="majorEastAsia" w:cstheme="majorBidi"/>
      <w:color w:val="0F4761" w:themeColor="accent1" w:themeShade="BF"/>
      <w:sz w:val="28"/>
      <w:szCs w:val="28"/>
    </w:rPr>
  </w:style>
  <w:style w:type="character" w:customStyle="1" w:styleId="40">
    <w:name w:val="標題 4 字元"/>
    <w:basedOn w:val="a0"/>
    <w:link w:val="4"/>
    <w:uiPriority w:val="9"/>
    <w:semiHidden/>
    <w:rsid w:val="001B32EE"/>
    <w:rPr>
      <w:rFonts w:eastAsiaTheme="majorEastAsia" w:cstheme="majorBidi"/>
      <w:i/>
      <w:iCs/>
      <w:color w:val="0F4761" w:themeColor="accent1" w:themeShade="BF"/>
    </w:rPr>
  </w:style>
  <w:style w:type="character" w:customStyle="1" w:styleId="50">
    <w:name w:val="標題 5 字元"/>
    <w:basedOn w:val="a0"/>
    <w:link w:val="5"/>
    <w:uiPriority w:val="9"/>
    <w:semiHidden/>
    <w:rsid w:val="001B32EE"/>
    <w:rPr>
      <w:rFonts w:eastAsiaTheme="majorEastAsia" w:cstheme="majorBidi"/>
      <w:color w:val="0F4761" w:themeColor="accent1" w:themeShade="BF"/>
    </w:rPr>
  </w:style>
  <w:style w:type="character" w:customStyle="1" w:styleId="60">
    <w:name w:val="標題 6 字元"/>
    <w:basedOn w:val="a0"/>
    <w:link w:val="6"/>
    <w:uiPriority w:val="9"/>
    <w:semiHidden/>
    <w:rsid w:val="001B32EE"/>
    <w:rPr>
      <w:rFonts w:eastAsiaTheme="majorEastAsia" w:cstheme="majorBidi"/>
      <w:i/>
      <w:iCs/>
      <w:color w:val="595959" w:themeColor="text1" w:themeTint="A6"/>
    </w:rPr>
  </w:style>
  <w:style w:type="character" w:customStyle="1" w:styleId="70">
    <w:name w:val="標題 7 字元"/>
    <w:basedOn w:val="a0"/>
    <w:link w:val="7"/>
    <w:uiPriority w:val="9"/>
    <w:semiHidden/>
    <w:rsid w:val="001B32EE"/>
    <w:rPr>
      <w:rFonts w:eastAsiaTheme="majorEastAsia" w:cstheme="majorBidi"/>
      <w:color w:val="595959" w:themeColor="text1" w:themeTint="A6"/>
    </w:rPr>
  </w:style>
  <w:style w:type="character" w:customStyle="1" w:styleId="80">
    <w:name w:val="標題 8 字元"/>
    <w:basedOn w:val="a0"/>
    <w:link w:val="8"/>
    <w:uiPriority w:val="9"/>
    <w:semiHidden/>
    <w:rsid w:val="001B32EE"/>
    <w:rPr>
      <w:rFonts w:eastAsiaTheme="majorEastAsia" w:cstheme="majorBidi"/>
      <w:i/>
      <w:iCs/>
      <w:color w:val="272727" w:themeColor="text1" w:themeTint="D8"/>
    </w:rPr>
  </w:style>
  <w:style w:type="character" w:customStyle="1" w:styleId="90">
    <w:name w:val="標題 9 字元"/>
    <w:basedOn w:val="a0"/>
    <w:link w:val="9"/>
    <w:uiPriority w:val="9"/>
    <w:semiHidden/>
    <w:rsid w:val="001B32EE"/>
    <w:rPr>
      <w:rFonts w:eastAsiaTheme="majorEastAsia" w:cstheme="majorBidi"/>
      <w:color w:val="272727" w:themeColor="text1" w:themeTint="D8"/>
    </w:rPr>
  </w:style>
  <w:style w:type="paragraph" w:styleId="a3">
    <w:name w:val="Title"/>
    <w:basedOn w:val="a"/>
    <w:next w:val="a"/>
    <w:link w:val="a4"/>
    <w:uiPriority w:val="10"/>
    <w:qFormat/>
    <w:rsid w:val="001B3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1B3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2EE"/>
    <w:pPr>
      <w:numPr>
        <w:ilvl w:val="1"/>
      </w:numPr>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1B32E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B32EE"/>
    <w:pPr>
      <w:spacing w:before="160"/>
      <w:jc w:val="center"/>
    </w:pPr>
    <w:rPr>
      <w:i/>
      <w:iCs/>
      <w:color w:val="404040" w:themeColor="text1" w:themeTint="BF"/>
    </w:rPr>
  </w:style>
  <w:style w:type="character" w:customStyle="1" w:styleId="a8">
    <w:name w:val="引文 字元"/>
    <w:basedOn w:val="a0"/>
    <w:link w:val="a7"/>
    <w:uiPriority w:val="29"/>
    <w:rsid w:val="001B32EE"/>
    <w:rPr>
      <w:i/>
      <w:iCs/>
      <w:color w:val="404040" w:themeColor="text1" w:themeTint="BF"/>
    </w:rPr>
  </w:style>
  <w:style w:type="paragraph" w:styleId="a9">
    <w:name w:val="List Paragraph"/>
    <w:basedOn w:val="a"/>
    <w:uiPriority w:val="34"/>
    <w:qFormat/>
    <w:rsid w:val="001B32EE"/>
    <w:pPr>
      <w:ind w:left="720"/>
      <w:contextualSpacing/>
    </w:pPr>
  </w:style>
  <w:style w:type="character" w:styleId="aa">
    <w:name w:val="Intense Emphasis"/>
    <w:basedOn w:val="a0"/>
    <w:uiPriority w:val="21"/>
    <w:qFormat/>
    <w:rsid w:val="001B32EE"/>
    <w:rPr>
      <w:i/>
      <w:iCs/>
      <w:color w:val="0F4761" w:themeColor="accent1" w:themeShade="BF"/>
    </w:rPr>
  </w:style>
  <w:style w:type="paragraph" w:styleId="ab">
    <w:name w:val="Intense Quote"/>
    <w:basedOn w:val="a"/>
    <w:next w:val="a"/>
    <w:link w:val="ac"/>
    <w:uiPriority w:val="30"/>
    <w:qFormat/>
    <w:rsid w:val="001B3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1B32EE"/>
    <w:rPr>
      <w:i/>
      <w:iCs/>
      <w:color w:val="0F4761" w:themeColor="accent1" w:themeShade="BF"/>
    </w:rPr>
  </w:style>
  <w:style w:type="character" w:styleId="ad">
    <w:name w:val="Intense Reference"/>
    <w:basedOn w:val="a0"/>
    <w:uiPriority w:val="32"/>
    <w:qFormat/>
    <w:rsid w:val="001B32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曲在雯</dc:creator>
  <cp:keywords/>
  <dc:description/>
  <cp:lastModifiedBy>曾玉萍</cp:lastModifiedBy>
  <cp:revision>2</cp:revision>
  <dcterms:created xsi:type="dcterms:W3CDTF">2025-08-18T04:09:00Z</dcterms:created>
  <dcterms:modified xsi:type="dcterms:W3CDTF">2025-08-18T04:09:00Z</dcterms:modified>
</cp:coreProperties>
</file>